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5" w:rsidRPr="00A65A75" w:rsidRDefault="00A65A75" w:rsidP="00A65A75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65A75" w:rsidRPr="00A65A75" w:rsidRDefault="00A65A75" w:rsidP="00A65A75">
      <w:pPr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5A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 проведении общего собрания акционеров акционерного общества</w:t>
      </w:r>
      <w:r w:rsidR="00CC32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23.07.2014г.</w:t>
      </w:r>
    </w:p>
    <w:p w:rsidR="00A65A75" w:rsidRPr="00A65A75" w:rsidRDefault="00A65A75" w:rsidP="00A65A75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65A75" w:rsidRPr="00A65A75" w:rsidRDefault="00A65A75" w:rsidP="00A65A75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Сообщение о проведении общего собрания акционеров акционерного общества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 Общие сведения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1.1. Полное фирменное наименование эмитента (для некоммерческой организации – наименование) Открытое акционерное общество «Югорская территориальная энергетическая компания – Энергия»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 ОАО «ЮТЭК - Энергия»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Место нахождения эмитента 628285, Россия, Ханты - Мансийский автономный округ –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Югра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город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Урай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ул. Сибирская, д. 2.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1.4. ОГРН эмитента 1048600100713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1.5. ИНН эмитента 8606009969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1.6. Уникальный код эмитента, присвоенный регистрирующим органом 32300-D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http://www.e-disclosure.ru/portal/company.aspx?id=6713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Сообщение о проведении общего собрания акционеров акционерного общества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В сообщении о проведении внеочередного общего собрания акционеров акционерного общества: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2.1. форма проведения внеочередного общего собрания акционеров (собрание или заочное голосование): заочное голосование.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2.2. дата составления списка лиц, имеющих право на участие во внеочередном общем собрании акционеров эмитента: 21 июля 2014 года.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>2.3. дата, место, время проведения внеочередного общего собрания акционеров эмитента: 15 августа 2014 года по адресу: 628285, Россия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Ханты - Мансийский автономный округ –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Югра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город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Урай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ул. Сибирская, д. 2.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 повестка дня внеочередного общего собрания акционеров эмитента: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>2.4.1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О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б определении цены работ для совершения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определение цены работ по договору № 2984-пр/14 от 19.03.2014г., заключенному между ОАО «ЮТЭК – Региональные сети» и ОАО «ЮТЭ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К-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2.4.2.Об одобрении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«ЮТЭК– Энергия» и являющегося стороной в сделке), а именно: одобрение заключения договора подряда № 2984-пр/14 от 19.03.2014г., заключенного между ОАО «ЮТЭК – Региональные сети» и ОАО «ЮТЭК – Энергия» на основании решения Единой комиссии по запросу предложений № 23/2014.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2.4.3.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Об определении цены работ для заключения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определение цены работ по дополнительному соглашению № 1 от 10.02.2014 к договору № 1957-п/13 от 12.07.2013г., заключенному между ОАО «ЮТЭК – Региональные сети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2.4.4.Об одобрении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одобрение заключения дополнительного соглашения № 1 от 10.02.2014 к договору № 1957-п/13 от 12.07.2013г., заключенному между ОАО «ЮТЭК – Региональные сети» и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2.4.5.Об определении предельной цены работ для заключения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стороной в сделке), а именно: определение предельной цены работ по дополнительному соглашению № 2 к договору № 1957-п/13 от 12.07.2013г., между ОАО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«ЮТЭК – Региональные сети» 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2.4.6.Об одобрении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К-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Региональные сети» - акционера, владеющего более 20 процентами голосующих акций ОАО «ЮТЭК – Энергия» и являющегося стороной в сделке), а именно: одобрение заключения дополнительного соглашения № 2 к договору № 1957-п/13 от 12.07.2013г., заключенному между ОАО «ЮТЭК – Региональные сети» и ОАО «ЮТЭ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К-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2.4.7.Об определении предельной цены работ для совершения сделки ОАО «ЮТЭК-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определение предельной цены работ по договору на выполнение подрядных работ по объекту: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«Кабельная линия 6 кВ от РП «Югра» до ТП-110» между ОАО «ЮТЭК – Региональные сети» 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2.4.8.О предварительном одобрении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одобрение заключения договора на выполнение подрядных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работ по объекту: 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«Кабельная линия 6 кВ от РП «Югра» до ТП-110» между ОАО «ЮТЭК – Региональные сети» 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2.4.9.Об определении предельной цены работ для совершения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определение предельной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цены работ по договору на выполнение подрядных работ по технологическому присоединению объекта: «ВЛИ-0,4 ул. Кольцова к д. 69» между ОАО «ЮТЭК – Региональные сети» 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2.4.10. О предварительном одобрении сделки ОАО «ЮТЭК – Энергия», в совершении которой имеется заинтересованность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аффилированного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лица (ОАО «ЮТЭК – Региональные сети» - акционера, владеющего более 20 процентами голосующих акций ОАО «ЮТЭК – Энергия» и являющегося стороной в сделке), а именно: одобрение заключения договора на выполнение подрядных работ по технологическому присоединению объекта: «ВЛИ-0,4 ул. Кольцова к д. 69» между ОАО «ЮТЭК – Региональные сети» и ОАО «ЮТЭК – Энергия».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2.5. Порядок ознакомления с информацией (материалами), подлежащей предоставлению при подготовке к проведению годового общего собрания акционеров: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Информация предоставляется акционерам в течение 20 дней до проведения внеочередного общего собрания акционеров в рабочие дни с 10 часов 00 минут до 17 часов 00 минут по адресу: 628285, Россия, Ханты - Мансийский автономный округ –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Югра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город </w:t>
      </w:r>
      <w:proofErr w:type="spell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>Урай</w:t>
      </w:r>
      <w:proofErr w:type="spell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, ул. Сибирская, д. 2..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 Подпись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3.1. Директор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ОАО «ЮТЭК - Энергия» Хохлов М.М.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(подпись)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3.2. Дата “ 23” июля 2014г. М.П. </w:t>
      </w:r>
      <w:r w:rsidRPr="00A65A75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A75" w:rsidRPr="00A65A75" w:rsidRDefault="00A65A75" w:rsidP="00A65A75">
      <w:pPr>
        <w:spacing w:after="0" w:line="270" w:lineRule="atLeast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A65A75">
        <w:rPr>
          <w:rFonts w:ascii="Arial" w:eastAsia="Times New Roman" w:hAnsi="Arial" w:cs="Arial"/>
          <w:color w:val="808080"/>
          <w:sz w:val="18"/>
          <w:szCs w:val="18"/>
          <w:lang w:eastAsia="ru-RU"/>
        </w:rPr>
        <w:t xml:space="preserve"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 </w:t>
      </w:r>
    </w:p>
    <w:p w:rsidR="00A65A75" w:rsidRPr="00A65A75" w:rsidRDefault="00A65A75" w:rsidP="00A65A75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65A75">
        <w:rPr>
          <w:rFonts w:ascii="Arial" w:eastAsia="Times New Roman" w:hAnsi="Arial" w:cs="Arial"/>
          <w:sz w:val="18"/>
          <w:szCs w:val="18"/>
          <w:lang w:eastAsia="ru-RU"/>
        </w:rPr>
        <w:t>© 2003-2014 Интерфакс</w:t>
      </w:r>
      <w:proofErr w:type="gramStart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A65A75">
        <w:rPr>
          <w:rFonts w:ascii="Arial" w:eastAsia="Times New Roman" w:hAnsi="Arial" w:cs="Arial"/>
          <w:sz w:val="18"/>
          <w:szCs w:val="18"/>
          <w:lang w:eastAsia="ru-RU"/>
        </w:rPr>
        <w:t xml:space="preserve">се права защищены </w:t>
      </w:r>
    </w:p>
    <w:p w:rsidR="00193D15" w:rsidRDefault="00193D15"/>
    <w:sectPr w:rsidR="00193D15" w:rsidSect="0019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75"/>
    <w:rsid w:val="00193D15"/>
    <w:rsid w:val="00A65A75"/>
    <w:rsid w:val="00CC3213"/>
    <w:rsid w:val="00FC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15"/>
  </w:style>
  <w:style w:type="paragraph" w:styleId="2">
    <w:name w:val="heading 2"/>
    <w:basedOn w:val="a"/>
    <w:link w:val="20"/>
    <w:uiPriority w:val="9"/>
    <w:qFormat/>
    <w:rsid w:val="00A65A75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65A75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5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5A75"/>
    <w:rPr>
      <w:color w:val="3D76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</w:div>
                    <w:div w:id="1175723637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674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8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double" w:sz="6" w:space="9" w:color="CBD5D9"/>
                            <w:left w:val="double" w:sz="6" w:space="9" w:color="CBD5D9"/>
                            <w:bottom w:val="double" w:sz="6" w:space="9" w:color="CBD5D9"/>
                            <w:right w:val="double" w:sz="6" w:space="9" w:color="CBD5D9"/>
                          </w:divBdr>
                        </w:div>
                        <w:div w:id="12375471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929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1107</Words>
  <Characters>6315</Characters>
  <Application>Microsoft Office Word</Application>
  <DocSecurity>0</DocSecurity>
  <Lines>52</Lines>
  <Paragraphs>14</Paragraphs>
  <ScaleCrop>false</ScaleCrop>
  <Company>ЮТЭК-Энергия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Администратор</cp:lastModifiedBy>
  <cp:revision>4</cp:revision>
  <dcterms:created xsi:type="dcterms:W3CDTF">2014-07-25T09:56:00Z</dcterms:created>
  <dcterms:modified xsi:type="dcterms:W3CDTF">2014-07-25T10:17:00Z</dcterms:modified>
</cp:coreProperties>
</file>